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DA2" w:rsidRPr="00F75867" w:rsidRDefault="00787DA2">
      <w:pPr>
        <w:pStyle w:val="GvdeMetni"/>
        <w:spacing w:before="6"/>
        <w:rPr>
          <w:rFonts w:ascii="Times New Roman"/>
          <w:sz w:val="28"/>
        </w:rPr>
      </w:pPr>
      <w:r w:rsidRPr="00F75867">
        <w:pict>
          <v:group id="_x0000_s1026" style="position:absolute;margin-left:6pt;margin-top:501.75pt;width:606pt;height:255.75pt;z-index:1048;mso-position-horizontal-relative:page;mso-position-vertical-relative:page" coordorigin="120,10035" coordsize="12120,51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120;top:10035;width:12120;height:4950">
              <v:imagedata r:id="rId4" o:title=""/>
            </v:shape>
            <v:shape id="_x0000_s1027" type="#_x0000_t75" style="position:absolute;left:5033;top:13590;width:2160;height:1560">
              <v:imagedata r:id="rId5" o:title=""/>
            </v:shape>
            <w10:wrap anchorx="page" anchory="page"/>
          </v:group>
        </w:pict>
      </w:r>
    </w:p>
    <w:p w:rsidR="00787DA2" w:rsidRPr="00F75867" w:rsidRDefault="00F75867">
      <w:pPr>
        <w:spacing w:before="112"/>
        <w:ind w:left="2380"/>
        <w:rPr>
          <w:sz w:val="36"/>
          <w:szCs w:val="36"/>
        </w:rPr>
      </w:pPr>
      <w:r w:rsidRPr="00F75867">
        <w:rPr>
          <w:noProof/>
          <w:sz w:val="36"/>
          <w:szCs w:val="36"/>
          <w:lang w:eastAsia="tr-TR"/>
        </w:rPr>
        <w:drawing>
          <wp:anchor distT="0" distB="0" distL="0" distR="0" simplePos="0" relativeHeight="251658240" behindDoc="0" locked="0" layoutInCell="1" allowOverlap="1">
            <wp:simplePos x="0" y="0"/>
            <wp:positionH relativeFrom="page">
              <wp:posOffset>568201</wp:posOffset>
            </wp:positionH>
            <wp:positionV relativeFrom="paragraph">
              <wp:posOffset>-203317</wp:posOffset>
            </wp:positionV>
            <wp:extent cx="1082921" cy="834591"/>
            <wp:effectExtent l="0" t="0" r="0" b="0"/>
            <wp:wrapNone/>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6" cstate="print"/>
                    <a:stretch>
                      <a:fillRect/>
                    </a:stretch>
                  </pic:blipFill>
                  <pic:spPr>
                    <a:xfrm>
                      <a:off x="0" y="0"/>
                      <a:ext cx="1082921" cy="834591"/>
                    </a:xfrm>
                    <a:prstGeom prst="rect">
                      <a:avLst/>
                    </a:prstGeom>
                  </pic:spPr>
                </pic:pic>
              </a:graphicData>
            </a:graphic>
          </wp:anchor>
        </w:drawing>
      </w:r>
      <w:r w:rsidR="00372055" w:rsidRPr="00F75867">
        <w:rPr>
          <w:sz w:val="36"/>
          <w:szCs w:val="36"/>
        </w:rPr>
        <w:t xml:space="preserve"> </w:t>
      </w:r>
      <w:r w:rsidR="00372055" w:rsidRPr="00F75867">
        <w:rPr>
          <w:noProof/>
          <w:sz w:val="36"/>
          <w:szCs w:val="36"/>
          <w:lang w:eastAsia="tr-TR"/>
        </w:rPr>
        <w:t>PUBLIC DISCLOSURE PLATFORM</w:t>
      </w:r>
    </w:p>
    <w:p w:rsidR="00787DA2" w:rsidRPr="00F75867" w:rsidRDefault="00787DA2">
      <w:pPr>
        <w:pStyle w:val="GvdeMetni"/>
        <w:rPr>
          <w:sz w:val="44"/>
        </w:rPr>
      </w:pPr>
    </w:p>
    <w:p w:rsidR="00787DA2" w:rsidRPr="00F75867" w:rsidRDefault="00787DA2">
      <w:pPr>
        <w:pStyle w:val="GvdeMetni"/>
        <w:rPr>
          <w:sz w:val="44"/>
        </w:rPr>
      </w:pPr>
    </w:p>
    <w:p w:rsidR="00787DA2" w:rsidRPr="00F75867" w:rsidRDefault="00787DA2">
      <w:pPr>
        <w:pStyle w:val="GvdeMetni"/>
        <w:rPr>
          <w:sz w:val="44"/>
        </w:rPr>
      </w:pPr>
    </w:p>
    <w:p w:rsidR="00787DA2" w:rsidRPr="00F75867" w:rsidRDefault="00787DA2">
      <w:pPr>
        <w:pStyle w:val="GvdeMetni"/>
        <w:rPr>
          <w:sz w:val="44"/>
        </w:rPr>
      </w:pPr>
    </w:p>
    <w:p w:rsidR="00787DA2" w:rsidRPr="00F75867" w:rsidRDefault="00787DA2">
      <w:pPr>
        <w:pStyle w:val="GvdeMetni"/>
        <w:rPr>
          <w:sz w:val="46"/>
        </w:rPr>
      </w:pPr>
    </w:p>
    <w:p w:rsidR="00787DA2" w:rsidRPr="00F75867" w:rsidRDefault="00F75867">
      <w:pPr>
        <w:ind w:left="3360" w:right="27"/>
        <w:jc w:val="center"/>
        <w:rPr>
          <w:sz w:val="48"/>
        </w:rPr>
      </w:pPr>
      <w:r w:rsidRPr="00F75867">
        <w:rPr>
          <w:color w:val="8A1314"/>
          <w:w w:val="105"/>
          <w:sz w:val="48"/>
        </w:rPr>
        <w:t>AYEN ENERJİ A.Ş.</w:t>
      </w:r>
    </w:p>
    <w:p w:rsidR="00787DA2" w:rsidRPr="00F75867" w:rsidRDefault="00372055" w:rsidP="00372055">
      <w:pPr>
        <w:spacing w:before="26"/>
        <w:ind w:left="2835" w:right="28"/>
        <w:jc w:val="center"/>
        <w:rPr>
          <w:sz w:val="48"/>
        </w:rPr>
      </w:pPr>
      <w:r w:rsidRPr="00F75867">
        <w:rPr>
          <w:color w:val="8A1314"/>
          <w:w w:val="105"/>
          <w:sz w:val="48"/>
        </w:rPr>
        <w:t>Disclosure on the News and the Rumors</w:t>
      </w:r>
    </w:p>
    <w:p w:rsidR="00787DA2" w:rsidRPr="00F75867" w:rsidRDefault="00787DA2">
      <w:pPr>
        <w:pStyle w:val="GvdeMetni"/>
        <w:rPr>
          <w:sz w:val="20"/>
        </w:rPr>
      </w:pPr>
    </w:p>
    <w:p w:rsidR="00787DA2" w:rsidRPr="00F75867" w:rsidRDefault="00787DA2">
      <w:pPr>
        <w:pStyle w:val="GvdeMetni"/>
        <w:rPr>
          <w:sz w:val="20"/>
        </w:rPr>
      </w:pPr>
    </w:p>
    <w:p w:rsidR="00787DA2" w:rsidRPr="00F75867" w:rsidRDefault="00787DA2">
      <w:pPr>
        <w:pStyle w:val="GvdeMetni"/>
        <w:rPr>
          <w:sz w:val="20"/>
        </w:rPr>
      </w:pPr>
    </w:p>
    <w:p w:rsidR="00787DA2" w:rsidRPr="00F75867" w:rsidRDefault="00787DA2">
      <w:pPr>
        <w:pStyle w:val="GvdeMetni"/>
        <w:rPr>
          <w:sz w:val="20"/>
        </w:rPr>
      </w:pPr>
    </w:p>
    <w:p w:rsidR="00787DA2" w:rsidRPr="00F75867" w:rsidRDefault="00787DA2">
      <w:pPr>
        <w:pStyle w:val="GvdeMetni"/>
        <w:rPr>
          <w:sz w:val="20"/>
        </w:rPr>
      </w:pPr>
    </w:p>
    <w:p w:rsidR="00787DA2" w:rsidRPr="00F75867" w:rsidRDefault="00787DA2">
      <w:pPr>
        <w:pStyle w:val="GvdeMetni"/>
        <w:rPr>
          <w:sz w:val="20"/>
        </w:rPr>
      </w:pPr>
    </w:p>
    <w:p w:rsidR="00787DA2" w:rsidRPr="00F75867" w:rsidRDefault="00787DA2">
      <w:pPr>
        <w:pStyle w:val="GvdeMetni"/>
        <w:rPr>
          <w:sz w:val="20"/>
        </w:rPr>
      </w:pPr>
    </w:p>
    <w:p w:rsidR="00787DA2" w:rsidRPr="00F75867" w:rsidRDefault="00787DA2">
      <w:pPr>
        <w:pStyle w:val="GvdeMetni"/>
        <w:rPr>
          <w:sz w:val="20"/>
        </w:rPr>
      </w:pPr>
    </w:p>
    <w:p w:rsidR="00787DA2" w:rsidRPr="00F75867" w:rsidRDefault="00787DA2">
      <w:pPr>
        <w:pStyle w:val="GvdeMetni"/>
        <w:spacing w:before="1"/>
        <w:rPr>
          <w:sz w:val="29"/>
        </w:rPr>
      </w:pPr>
    </w:p>
    <w:p w:rsidR="00787DA2" w:rsidRPr="00F75867" w:rsidRDefault="00372055">
      <w:pPr>
        <w:spacing w:before="109"/>
        <w:ind w:right="295"/>
        <w:jc w:val="right"/>
        <w:rPr>
          <w:sz w:val="30"/>
        </w:rPr>
      </w:pPr>
      <w:r w:rsidRPr="00F75867">
        <w:rPr>
          <w:w w:val="105"/>
          <w:sz w:val="30"/>
        </w:rPr>
        <w:t>Summary Info</w:t>
      </w:r>
    </w:p>
    <w:p w:rsidR="00372055" w:rsidRPr="00F75867" w:rsidRDefault="00372055" w:rsidP="00372055">
      <w:pPr>
        <w:pStyle w:val="GvdeMetni"/>
        <w:spacing w:before="22"/>
        <w:ind w:right="308"/>
        <w:jc w:val="right"/>
        <w:rPr>
          <w:w w:val="110"/>
        </w:rPr>
      </w:pPr>
      <w:r w:rsidRPr="00F75867">
        <w:rPr>
          <w:w w:val="110"/>
        </w:rPr>
        <w:t>Disclosure regarding the news published about our Company</w:t>
      </w:r>
    </w:p>
    <w:p w:rsidR="00787DA2" w:rsidRPr="00F75867" w:rsidRDefault="00787DA2">
      <w:pPr>
        <w:jc w:val="right"/>
        <w:sectPr w:rsidR="00787DA2" w:rsidRPr="00F75867">
          <w:type w:val="continuous"/>
          <w:pgSz w:w="12240" w:h="15840"/>
          <w:pgMar w:top="1180" w:right="560" w:bottom="280" w:left="620" w:header="708" w:footer="708" w:gutter="0"/>
          <w:cols w:space="708"/>
        </w:sectPr>
      </w:pPr>
    </w:p>
    <w:p w:rsidR="00787DA2" w:rsidRPr="00F75867" w:rsidRDefault="00787DA2">
      <w:pPr>
        <w:pStyle w:val="GvdeMetni"/>
        <w:spacing w:before="1"/>
        <w:rPr>
          <w:sz w:val="26"/>
        </w:rPr>
      </w:pPr>
    </w:p>
    <w:p w:rsidR="00787DA2" w:rsidRPr="00F75867" w:rsidRDefault="00F75867">
      <w:pPr>
        <w:spacing w:before="111"/>
        <w:ind w:left="2350"/>
        <w:rPr>
          <w:sz w:val="36"/>
          <w:szCs w:val="36"/>
        </w:rPr>
      </w:pPr>
      <w:r w:rsidRPr="00F75867">
        <w:rPr>
          <w:noProof/>
          <w:lang w:eastAsia="tr-TR"/>
        </w:rPr>
        <w:drawing>
          <wp:anchor distT="0" distB="0" distL="0" distR="0" simplePos="0" relativeHeight="1072" behindDoc="0" locked="0" layoutInCell="1" allowOverlap="1">
            <wp:simplePos x="0" y="0"/>
            <wp:positionH relativeFrom="page">
              <wp:posOffset>549151</wp:posOffset>
            </wp:positionH>
            <wp:positionV relativeFrom="paragraph">
              <wp:posOffset>-203952</wp:posOffset>
            </wp:positionV>
            <wp:extent cx="1082921" cy="834591"/>
            <wp:effectExtent l="0" t="0" r="0" b="0"/>
            <wp:wrapNone/>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6" cstate="print"/>
                    <a:stretch>
                      <a:fillRect/>
                    </a:stretch>
                  </pic:blipFill>
                  <pic:spPr>
                    <a:xfrm>
                      <a:off x="0" y="0"/>
                      <a:ext cx="1082921" cy="834591"/>
                    </a:xfrm>
                    <a:prstGeom prst="rect">
                      <a:avLst/>
                    </a:prstGeom>
                  </pic:spPr>
                </pic:pic>
              </a:graphicData>
            </a:graphic>
          </wp:anchor>
        </w:drawing>
      </w:r>
      <w:r w:rsidR="00372055" w:rsidRPr="00F75867">
        <w:rPr>
          <w:color w:val="8A1314"/>
          <w:w w:val="105"/>
          <w:sz w:val="48"/>
        </w:rPr>
        <w:t xml:space="preserve"> </w:t>
      </w:r>
      <w:r w:rsidR="00372055" w:rsidRPr="00F75867">
        <w:rPr>
          <w:color w:val="8A1314"/>
          <w:w w:val="105"/>
          <w:sz w:val="36"/>
          <w:szCs w:val="36"/>
        </w:rPr>
        <w:t xml:space="preserve">Disclosure on the News </w:t>
      </w:r>
      <w:r w:rsidR="00BA7969" w:rsidRPr="00F75867">
        <w:rPr>
          <w:color w:val="8A1314"/>
          <w:w w:val="105"/>
          <w:sz w:val="36"/>
          <w:szCs w:val="36"/>
        </w:rPr>
        <w:t>or</w:t>
      </w:r>
      <w:r w:rsidR="00372055" w:rsidRPr="00F75867">
        <w:rPr>
          <w:color w:val="8A1314"/>
          <w:w w:val="105"/>
          <w:sz w:val="36"/>
          <w:szCs w:val="36"/>
        </w:rPr>
        <w:t xml:space="preserve"> the Rumors</w:t>
      </w:r>
    </w:p>
    <w:p w:rsidR="00787DA2" w:rsidRPr="00F75867" w:rsidRDefault="00787DA2">
      <w:pPr>
        <w:pStyle w:val="GvdeMetni"/>
        <w:rPr>
          <w:sz w:val="44"/>
        </w:rPr>
      </w:pPr>
    </w:p>
    <w:p w:rsidR="00787DA2" w:rsidRPr="00F75867" w:rsidRDefault="00787DA2">
      <w:pPr>
        <w:pStyle w:val="GvdeMetni"/>
        <w:spacing w:before="6"/>
        <w:rPr>
          <w:sz w:val="62"/>
        </w:rPr>
      </w:pPr>
    </w:p>
    <w:p w:rsidR="00787DA2" w:rsidRPr="00F75867" w:rsidRDefault="00BA7969">
      <w:pPr>
        <w:spacing w:before="1"/>
        <w:ind w:left="235"/>
        <w:rPr>
          <w:sz w:val="13"/>
        </w:rPr>
      </w:pPr>
      <w:r w:rsidRPr="00F75867">
        <w:rPr>
          <w:color w:val="8A1314"/>
          <w:w w:val="105"/>
          <w:sz w:val="18"/>
        </w:rPr>
        <w:t>Respective Companies</w:t>
      </w:r>
      <w:r w:rsidR="00F75867" w:rsidRPr="00F75867">
        <w:rPr>
          <w:color w:val="8A1314"/>
          <w:w w:val="105"/>
          <w:sz w:val="18"/>
        </w:rPr>
        <w:t xml:space="preserve">  </w:t>
      </w:r>
      <w:r w:rsidR="00F75867" w:rsidRPr="00F75867">
        <w:rPr>
          <w:w w:val="105"/>
          <w:position w:val="1"/>
          <w:sz w:val="13"/>
        </w:rPr>
        <w:t>[]</w:t>
      </w:r>
    </w:p>
    <w:p w:rsidR="00787DA2" w:rsidRPr="00F75867" w:rsidRDefault="00BA7969">
      <w:pPr>
        <w:tabs>
          <w:tab w:val="left" w:pos="1332"/>
        </w:tabs>
        <w:spacing w:before="189"/>
        <w:ind w:left="235"/>
        <w:rPr>
          <w:sz w:val="13"/>
        </w:rPr>
      </w:pPr>
      <w:r w:rsidRPr="00F75867">
        <w:rPr>
          <w:color w:val="8A1314"/>
          <w:w w:val="105"/>
          <w:sz w:val="18"/>
        </w:rPr>
        <w:t>Related Funds</w:t>
      </w:r>
      <w:r w:rsidR="00F75867" w:rsidRPr="00F75867">
        <w:rPr>
          <w:color w:val="8A1314"/>
          <w:w w:val="105"/>
          <w:sz w:val="18"/>
        </w:rPr>
        <w:tab/>
      </w:r>
      <w:r w:rsidR="00F75867" w:rsidRPr="00F75867">
        <w:rPr>
          <w:w w:val="105"/>
          <w:position w:val="1"/>
          <w:sz w:val="13"/>
        </w:rPr>
        <w:t>[]</w:t>
      </w:r>
    </w:p>
    <w:p w:rsidR="00787DA2" w:rsidRPr="00F75867" w:rsidRDefault="00787DA2">
      <w:pPr>
        <w:pStyle w:val="GvdeMetni"/>
        <w:spacing w:before="1"/>
        <w:rPr>
          <w:sz w:val="10"/>
        </w:rPr>
      </w:pPr>
    </w:p>
    <w:tbl>
      <w:tblPr>
        <w:tblStyle w:val="TableNormal"/>
        <w:tblW w:w="0" w:type="auto"/>
        <w:tblInd w:w="287" w:type="dxa"/>
        <w:tblBorders>
          <w:top w:val="single" w:sz="6" w:space="0" w:color="EEEEEE"/>
          <w:left w:val="single" w:sz="6" w:space="0" w:color="EEEEEE"/>
          <w:bottom w:val="single" w:sz="6" w:space="0" w:color="EEEEEE"/>
          <w:right w:val="single" w:sz="6" w:space="0" w:color="EEEEEE"/>
          <w:insideH w:val="single" w:sz="6" w:space="0" w:color="EEEEEE"/>
          <w:insideV w:val="single" w:sz="6" w:space="0" w:color="EEEEEE"/>
        </w:tblBorders>
        <w:tblLayout w:type="fixed"/>
        <w:tblLook w:val="01E0"/>
      </w:tblPr>
      <w:tblGrid>
        <w:gridCol w:w="6105"/>
        <w:gridCol w:w="4395"/>
      </w:tblGrid>
      <w:tr w:rsidR="00787DA2" w:rsidRPr="00F75867">
        <w:trPr>
          <w:trHeight w:val="409"/>
        </w:trPr>
        <w:tc>
          <w:tcPr>
            <w:tcW w:w="6105" w:type="dxa"/>
          </w:tcPr>
          <w:p w:rsidR="00787DA2" w:rsidRPr="00F75867" w:rsidRDefault="00BA7969" w:rsidP="00BA7969">
            <w:pPr>
              <w:pStyle w:val="TableParagraph"/>
              <w:spacing w:before="89"/>
              <w:ind w:left="82"/>
              <w:rPr>
                <w:sz w:val="18"/>
              </w:rPr>
            </w:pPr>
            <w:r w:rsidRPr="00F75867">
              <w:rPr>
                <w:color w:val="8A1314"/>
                <w:w w:val="105"/>
                <w:sz w:val="18"/>
              </w:rPr>
              <w:t>Disclosure on the News or the Rumors</w:t>
            </w:r>
          </w:p>
        </w:tc>
        <w:tc>
          <w:tcPr>
            <w:tcW w:w="4395" w:type="dxa"/>
            <w:tcBorders>
              <w:top w:val="nil"/>
              <w:right w:val="nil"/>
            </w:tcBorders>
            <w:shd w:val="clear" w:color="auto" w:fill="D0D0D0"/>
          </w:tcPr>
          <w:p w:rsidR="00787DA2" w:rsidRPr="00F75867" w:rsidRDefault="00787DA2">
            <w:pPr>
              <w:pStyle w:val="TableParagraph"/>
              <w:spacing w:before="0"/>
              <w:ind w:left="0"/>
              <w:rPr>
                <w:rFonts w:ascii="Times New Roman"/>
                <w:sz w:val="18"/>
              </w:rPr>
            </w:pPr>
          </w:p>
        </w:tc>
      </w:tr>
      <w:tr w:rsidR="00787DA2" w:rsidRPr="00F75867">
        <w:trPr>
          <w:trHeight w:val="285"/>
        </w:trPr>
        <w:tc>
          <w:tcPr>
            <w:tcW w:w="6105" w:type="dxa"/>
            <w:shd w:val="clear" w:color="auto" w:fill="D2D2D2"/>
          </w:tcPr>
          <w:p w:rsidR="00787DA2" w:rsidRPr="00F75867" w:rsidRDefault="000B5AD2" w:rsidP="000B5AD2">
            <w:pPr>
              <w:pStyle w:val="TableParagraph"/>
              <w:rPr>
                <w:sz w:val="19"/>
              </w:rPr>
            </w:pPr>
            <w:r w:rsidRPr="00F75867">
              <w:rPr>
                <w:w w:val="105"/>
                <w:sz w:val="19"/>
              </w:rPr>
              <w:t>Is the Disclosure an Update?</w:t>
            </w:r>
          </w:p>
        </w:tc>
        <w:tc>
          <w:tcPr>
            <w:tcW w:w="4395" w:type="dxa"/>
            <w:shd w:val="clear" w:color="auto" w:fill="D2D2D2"/>
          </w:tcPr>
          <w:p w:rsidR="00787DA2" w:rsidRPr="00F75867" w:rsidRDefault="00F75867">
            <w:pPr>
              <w:pStyle w:val="TableParagraph"/>
              <w:ind w:left="22"/>
              <w:rPr>
                <w:sz w:val="19"/>
              </w:rPr>
            </w:pPr>
            <w:r w:rsidRPr="00F75867">
              <w:rPr>
                <w:w w:val="105"/>
                <w:sz w:val="19"/>
              </w:rPr>
              <w:t>No</w:t>
            </w:r>
          </w:p>
        </w:tc>
      </w:tr>
      <w:tr w:rsidR="00787DA2" w:rsidRPr="00F75867">
        <w:trPr>
          <w:trHeight w:val="285"/>
        </w:trPr>
        <w:tc>
          <w:tcPr>
            <w:tcW w:w="6105" w:type="dxa"/>
          </w:tcPr>
          <w:p w:rsidR="00787DA2" w:rsidRPr="00F75867" w:rsidRDefault="000B5AD2" w:rsidP="000B5AD2">
            <w:pPr>
              <w:pStyle w:val="TableParagraph"/>
              <w:rPr>
                <w:sz w:val="19"/>
              </w:rPr>
            </w:pPr>
            <w:r w:rsidRPr="00F75867">
              <w:rPr>
                <w:w w:val="105"/>
                <w:sz w:val="19"/>
              </w:rPr>
              <w:t>Is the Disclosure a Correction?</w:t>
            </w:r>
          </w:p>
        </w:tc>
        <w:tc>
          <w:tcPr>
            <w:tcW w:w="4395" w:type="dxa"/>
          </w:tcPr>
          <w:p w:rsidR="00787DA2" w:rsidRPr="00F75867" w:rsidRDefault="00F75867">
            <w:pPr>
              <w:pStyle w:val="TableParagraph"/>
              <w:ind w:left="22"/>
              <w:rPr>
                <w:sz w:val="19"/>
              </w:rPr>
            </w:pPr>
            <w:r w:rsidRPr="00F75867">
              <w:rPr>
                <w:w w:val="105"/>
                <w:sz w:val="19"/>
              </w:rPr>
              <w:t>No</w:t>
            </w:r>
          </w:p>
        </w:tc>
      </w:tr>
      <w:tr w:rsidR="00787DA2" w:rsidRPr="00F75867">
        <w:trPr>
          <w:trHeight w:val="285"/>
        </w:trPr>
        <w:tc>
          <w:tcPr>
            <w:tcW w:w="6105" w:type="dxa"/>
            <w:shd w:val="clear" w:color="auto" w:fill="D2D2D2"/>
          </w:tcPr>
          <w:p w:rsidR="00787DA2" w:rsidRPr="00F75867" w:rsidRDefault="000B5AD2" w:rsidP="000B5AD2">
            <w:pPr>
              <w:pStyle w:val="TableParagraph"/>
              <w:rPr>
                <w:sz w:val="19"/>
              </w:rPr>
            </w:pPr>
            <w:r w:rsidRPr="00F75867">
              <w:rPr>
                <w:w w:val="105"/>
                <w:sz w:val="19"/>
              </w:rPr>
              <w:t>Date of the Previous Disclosure on the Subject</w:t>
            </w:r>
          </w:p>
        </w:tc>
        <w:tc>
          <w:tcPr>
            <w:tcW w:w="4395" w:type="dxa"/>
            <w:shd w:val="clear" w:color="auto" w:fill="D2D2D2"/>
          </w:tcPr>
          <w:p w:rsidR="00787DA2" w:rsidRPr="00F75867" w:rsidRDefault="00F75867">
            <w:pPr>
              <w:pStyle w:val="TableParagraph"/>
              <w:ind w:left="22"/>
              <w:rPr>
                <w:sz w:val="19"/>
              </w:rPr>
            </w:pPr>
            <w:r w:rsidRPr="00F75867">
              <w:rPr>
                <w:w w:val="104"/>
                <w:sz w:val="19"/>
              </w:rPr>
              <w:t>-</w:t>
            </w:r>
          </w:p>
        </w:tc>
      </w:tr>
      <w:tr w:rsidR="00787DA2" w:rsidRPr="00F75867">
        <w:trPr>
          <w:trHeight w:val="285"/>
        </w:trPr>
        <w:tc>
          <w:tcPr>
            <w:tcW w:w="6105" w:type="dxa"/>
          </w:tcPr>
          <w:p w:rsidR="00787DA2" w:rsidRPr="00F75867" w:rsidRDefault="00F93941">
            <w:pPr>
              <w:pStyle w:val="TableParagraph"/>
              <w:rPr>
                <w:sz w:val="19"/>
              </w:rPr>
            </w:pPr>
            <w:r w:rsidRPr="00F75867">
              <w:rPr>
                <w:w w:val="105"/>
                <w:sz w:val="19"/>
              </w:rPr>
              <w:t>Is the Disclosure a Deferred Disclosure?</w:t>
            </w:r>
          </w:p>
        </w:tc>
        <w:tc>
          <w:tcPr>
            <w:tcW w:w="4395" w:type="dxa"/>
          </w:tcPr>
          <w:p w:rsidR="00787DA2" w:rsidRPr="00F75867" w:rsidRDefault="00F75867">
            <w:pPr>
              <w:pStyle w:val="TableParagraph"/>
              <w:ind w:left="22"/>
              <w:rPr>
                <w:sz w:val="19"/>
              </w:rPr>
            </w:pPr>
            <w:r w:rsidRPr="00F75867">
              <w:rPr>
                <w:w w:val="105"/>
                <w:sz w:val="19"/>
              </w:rPr>
              <w:t>Yes</w:t>
            </w:r>
          </w:p>
        </w:tc>
      </w:tr>
      <w:tr w:rsidR="00787DA2" w:rsidRPr="00F75867">
        <w:trPr>
          <w:trHeight w:val="409"/>
        </w:trPr>
        <w:tc>
          <w:tcPr>
            <w:tcW w:w="6105" w:type="dxa"/>
          </w:tcPr>
          <w:p w:rsidR="00787DA2" w:rsidRPr="00F75867" w:rsidRDefault="00F93941">
            <w:pPr>
              <w:pStyle w:val="TableParagraph"/>
              <w:spacing w:before="89"/>
              <w:rPr>
                <w:sz w:val="18"/>
              </w:rPr>
            </w:pPr>
            <w:r w:rsidRPr="00F75867">
              <w:rPr>
                <w:color w:val="8A1314"/>
                <w:w w:val="105"/>
                <w:sz w:val="18"/>
              </w:rPr>
              <w:t>Notification Content</w:t>
            </w:r>
          </w:p>
        </w:tc>
        <w:tc>
          <w:tcPr>
            <w:tcW w:w="4395" w:type="dxa"/>
            <w:vMerge w:val="restart"/>
            <w:tcBorders>
              <w:right w:val="nil"/>
            </w:tcBorders>
            <w:shd w:val="clear" w:color="auto" w:fill="D0D0D0"/>
          </w:tcPr>
          <w:p w:rsidR="00787DA2" w:rsidRPr="00F75867" w:rsidRDefault="00787DA2">
            <w:pPr>
              <w:pStyle w:val="TableParagraph"/>
              <w:spacing w:before="0"/>
              <w:ind w:left="0"/>
              <w:rPr>
                <w:rFonts w:ascii="Times New Roman"/>
                <w:sz w:val="18"/>
              </w:rPr>
            </w:pPr>
          </w:p>
        </w:tc>
      </w:tr>
      <w:tr w:rsidR="00787DA2" w:rsidRPr="00F75867">
        <w:trPr>
          <w:trHeight w:val="409"/>
        </w:trPr>
        <w:tc>
          <w:tcPr>
            <w:tcW w:w="6105" w:type="dxa"/>
          </w:tcPr>
          <w:p w:rsidR="00787DA2" w:rsidRPr="00F75867" w:rsidRDefault="00F93941">
            <w:pPr>
              <w:pStyle w:val="TableParagraph"/>
              <w:spacing w:before="90"/>
              <w:rPr>
                <w:sz w:val="18"/>
              </w:rPr>
            </w:pPr>
            <w:r w:rsidRPr="00F75867">
              <w:rPr>
                <w:color w:val="8A1314"/>
                <w:w w:val="105"/>
                <w:sz w:val="18"/>
              </w:rPr>
              <w:t>Disclosures</w:t>
            </w:r>
          </w:p>
        </w:tc>
        <w:tc>
          <w:tcPr>
            <w:tcW w:w="4395" w:type="dxa"/>
            <w:vMerge/>
            <w:tcBorders>
              <w:top w:val="nil"/>
              <w:right w:val="nil"/>
            </w:tcBorders>
            <w:shd w:val="clear" w:color="auto" w:fill="D0D0D0"/>
          </w:tcPr>
          <w:p w:rsidR="00787DA2" w:rsidRPr="00F75867" w:rsidRDefault="00787DA2">
            <w:pPr>
              <w:rPr>
                <w:sz w:val="2"/>
                <w:szCs w:val="2"/>
              </w:rPr>
            </w:pPr>
          </w:p>
        </w:tc>
      </w:tr>
    </w:tbl>
    <w:p w:rsidR="00787DA2" w:rsidRPr="00F75867" w:rsidRDefault="00787DA2">
      <w:pPr>
        <w:pStyle w:val="GvdeMetni"/>
        <w:rPr>
          <w:sz w:val="20"/>
        </w:rPr>
      </w:pPr>
    </w:p>
    <w:p w:rsidR="00787DA2" w:rsidRPr="00F75867" w:rsidRDefault="00787DA2">
      <w:pPr>
        <w:pStyle w:val="GvdeMetni"/>
        <w:rPr>
          <w:sz w:val="15"/>
        </w:rPr>
      </w:pPr>
    </w:p>
    <w:p w:rsidR="00787DA2" w:rsidRPr="00F75867" w:rsidRDefault="00F93941">
      <w:pPr>
        <w:pStyle w:val="GvdeMetni"/>
        <w:spacing w:before="111"/>
        <w:ind w:left="527"/>
      </w:pPr>
      <w:r w:rsidRPr="00F75867">
        <w:rPr>
          <w:w w:val="110"/>
        </w:rPr>
        <w:t>The Disclosure of our Company, in accordance with the CMB's Special Circumstances Communiqué (II-15.1), upon the news published by a news agency, is presented below:</w:t>
      </w:r>
    </w:p>
    <w:p w:rsidR="00787DA2" w:rsidRPr="00F75867" w:rsidRDefault="00787DA2">
      <w:pPr>
        <w:pStyle w:val="GvdeMetni"/>
        <w:spacing w:before="3"/>
      </w:pPr>
    </w:p>
    <w:p w:rsidR="00787DA2" w:rsidRPr="00F75867" w:rsidRDefault="00F93941">
      <w:pPr>
        <w:pStyle w:val="GvdeMetni"/>
        <w:spacing w:line="256" w:lineRule="auto"/>
        <w:ind w:left="527" w:right="535"/>
        <w:jc w:val="both"/>
      </w:pPr>
      <w:r w:rsidRPr="00F75867">
        <w:rPr>
          <w:w w:val="110"/>
        </w:rPr>
        <w:t>Our Company has signed a financial consultancy contract with Pragma Finansal Danışmanlık Hizmetleri Ticaret A.Ş. with the purpose of  evaluating the strategic and financial cooperation opportunities</w:t>
      </w:r>
      <w:r w:rsidR="003B1C7E" w:rsidRPr="00F75867">
        <w:rPr>
          <w:w w:val="110"/>
        </w:rPr>
        <w:t>,</w:t>
      </w:r>
      <w:r w:rsidRPr="00F75867">
        <w:rPr>
          <w:w w:val="110"/>
        </w:rPr>
        <w:t xml:space="preserve"> concerning the sale of some or all of the shares of our Company's subsidiaries </w:t>
      </w:r>
      <w:r w:rsidR="003B1C7E" w:rsidRPr="00F75867">
        <w:rPr>
          <w:w w:val="110"/>
        </w:rPr>
        <w:t xml:space="preserve">established </w:t>
      </w:r>
      <w:r w:rsidRPr="00F75867">
        <w:rPr>
          <w:w w:val="110"/>
        </w:rPr>
        <w:t>in Albania,</w:t>
      </w:r>
    </w:p>
    <w:p w:rsidR="00787DA2" w:rsidRPr="00F75867" w:rsidRDefault="00787DA2">
      <w:pPr>
        <w:pStyle w:val="GvdeMetni"/>
        <w:spacing w:before="1"/>
        <w:rPr>
          <w:sz w:val="18"/>
        </w:rPr>
      </w:pPr>
    </w:p>
    <w:p w:rsidR="00787DA2" w:rsidRPr="00F75867" w:rsidRDefault="00931B8A">
      <w:pPr>
        <w:pStyle w:val="GvdeMetni"/>
        <w:spacing w:line="256" w:lineRule="auto"/>
        <w:ind w:left="527" w:right="486"/>
      </w:pPr>
      <w:r w:rsidRPr="00F75867">
        <w:rPr>
          <w:w w:val="105"/>
        </w:rPr>
        <w:t xml:space="preserve">Considering that the value of the capital market instrument of the company and the investment decisions of the investors may be affected due to the uncertainty of the transaction, the Board of Directors has decided to postpone the public disclosure on 02.09.2019, in accordance with the provisions of the Capital Markets Board's Communiqué numbered II-15.1. </w:t>
      </w:r>
    </w:p>
    <w:p w:rsidR="00787DA2" w:rsidRPr="00F75867" w:rsidRDefault="00787DA2">
      <w:pPr>
        <w:pStyle w:val="GvdeMetni"/>
        <w:spacing w:before="2"/>
        <w:rPr>
          <w:sz w:val="18"/>
        </w:rPr>
      </w:pPr>
    </w:p>
    <w:p w:rsidR="00787DA2" w:rsidRPr="00F75867" w:rsidRDefault="00931B8A">
      <w:pPr>
        <w:pStyle w:val="GvdeMetni"/>
        <w:spacing w:line="256" w:lineRule="auto"/>
        <w:ind w:left="527"/>
      </w:pPr>
      <w:r w:rsidRPr="00F75867">
        <w:rPr>
          <w:w w:val="110"/>
        </w:rPr>
        <w:t>In this context, there has been no final development at this stage that would require public announcement. The relevant developments will be announced within the scope of the legislation.</w:t>
      </w:r>
    </w:p>
    <w:p w:rsidR="00787DA2" w:rsidRPr="00F75867" w:rsidRDefault="00787DA2">
      <w:pPr>
        <w:pStyle w:val="GvdeMetni"/>
        <w:rPr>
          <w:sz w:val="20"/>
        </w:rPr>
      </w:pPr>
    </w:p>
    <w:p w:rsidR="00787DA2" w:rsidRPr="00F75867" w:rsidRDefault="00787DA2">
      <w:pPr>
        <w:pStyle w:val="GvdeMetni"/>
        <w:rPr>
          <w:sz w:val="20"/>
        </w:rPr>
      </w:pPr>
    </w:p>
    <w:p w:rsidR="00787DA2" w:rsidRPr="00F75867" w:rsidRDefault="00787DA2">
      <w:pPr>
        <w:pStyle w:val="GvdeMetni"/>
        <w:rPr>
          <w:sz w:val="20"/>
        </w:rPr>
      </w:pPr>
    </w:p>
    <w:p w:rsidR="00787DA2" w:rsidRPr="00F75867" w:rsidRDefault="00787DA2">
      <w:pPr>
        <w:pStyle w:val="GvdeMetni"/>
        <w:rPr>
          <w:sz w:val="20"/>
        </w:rPr>
      </w:pPr>
    </w:p>
    <w:p w:rsidR="00787DA2" w:rsidRPr="00F75867" w:rsidRDefault="00787DA2">
      <w:pPr>
        <w:pStyle w:val="GvdeMetni"/>
        <w:spacing w:before="11"/>
      </w:pPr>
    </w:p>
    <w:p w:rsidR="00787DA2" w:rsidRPr="00F75867" w:rsidRDefault="000E26BA">
      <w:pPr>
        <w:spacing w:line="249" w:lineRule="auto"/>
        <w:ind w:left="100" w:right="225"/>
        <w:jc w:val="both"/>
        <w:rPr>
          <w:sz w:val="18"/>
        </w:rPr>
      </w:pPr>
      <w:r w:rsidRPr="00F75867">
        <w:rPr>
          <w:w w:val="105"/>
          <w:sz w:val="18"/>
        </w:rPr>
        <w:t xml:space="preserve">We hereby declare that the foregoing disclosures are in accordance with the principles stipulated in the Capital Markets Board Communiqué in force </w:t>
      </w:r>
      <w:r w:rsidRPr="00F75867">
        <w:rPr>
          <w:w w:val="105"/>
          <w:sz w:val="18"/>
          <w:szCs w:val="18"/>
        </w:rPr>
        <w:t xml:space="preserve">on </w:t>
      </w:r>
      <w:r w:rsidRPr="00F75867">
        <w:rPr>
          <w:w w:val="110"/>
          <w:sz w:val="18"/>
          <w:szCs w:val="18"/>
        </w:rPr>
        <w:t>Special Circumstances</w:t>
      </w:r>
      <w:r w:rsidRPr="00F75867">
        <w:rPr>
          <w:w w:val="105"/>
          <w:sz w:val="18"/>
        </w:rPr>
        <w:t>, that they fully reflect the information we have received on the issue (s), that the information is in compliance with our books, records and documents, that we have made all necessary efforts to obtain complete and accurate information on the subject and that we are responsible for such disclosures.</w:t>
      </w:r>
    </w:p>
    <w:sectPr w:rsidR="00787DA2" w:rsidRPr="00F75867" w:rsidSect="00787DA2">
      <w:pgSz w:w="12240" w:h="15840"/>
      <w:pgMar w:top="860" w:right="560" w:bottom="280" w:left="620" w:header="708" w:footer="708"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compat>
    <w:ulTrailSpace/>
  </w:compat>
  <w:rsids>
    <w:rsidRoot w:val="00787DA2"/>
    <w:rsid w:val="000B5AD2"/>
    <w:rsid w:val="000E26BA"/>
    <w:rsid w:val="00372055"/>
    <w:rsid w:val="003B1C7E"/>
    <w:rsid w:val="00787DA2"/>
    <w:rsid w:val="00931B8A"/>
    <w:rsid w:val="00A56E1A"/>
    <w:rsid w:val="00BA7969"/>
    <w:rsid w:val="00F75867"/>
    <w:rsid w:val="00F939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87DA2"/>
    <w:rPr>
      <w:rFonts w:ascii="Calibri" w:eastAsia="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787DA2"/>
    <w:tblPr>
      <w:tblInd w:w="0" w:type="dxa"/>
      <w:tblCellMar>
        <w:top w:w="0" w:type="dxa"/>
        <w:left w:w="0" w:type="dxa"/>
        <w:bottom w:w="0" w:type="dxa"/>
        <w:right w:w="0" w:type="dxa"/>
      </w:tblCellMar>
    </w:tblPr>
  </w:style>
  <w:style w:type="paragraph" w:styleId="GvdeMetni">
    <w:name w:val="Body Text"/>
    <w:basedOn w:val="Normal"/>
    <w:uiPriority w:val="1"/>
    <w:qFormat/>
    <w:rsid w:val="00787DA2"/>
    <w:rPr>
      <w:sz w:val="19"/>
      <w:szCs w:val="19"/>
    </w:rPr>
  </w:style>
  <w:style w:type="paragraph" w:styleId="ListeParagraf">
    <w:name w:val="List Paragraph"/>
    <w:basedOn w:val="Normal"/>
    <w:uiPriority w:val="1"/>
    <w:qFormat/>
    <w:rsid w:val="00787DA2"/>
  </w:style>
  <w:style w:type="paragraph" w:customStyle="1" w:styleId="TableParagraph">
    <w:name w:val="Table Paragraph"/>
    <w:basedOn w:val="Normal"/>
    <w:uiPriority w:val="1"/>
    <w:qFormat/>
    <w:rsid w:val="00787DA2"/>
    <w:pPr>
      <w:spacing w:before="23"/>
      <w:ind w:left="307"/>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300</Words>
  <Characters>1650</Characters>
  <Application>Microsoft Office Word</Application>
  <DocSecurity>0</DocSecurity>
  <Lines>66</Lines>
  <Paragraphs>24</Paragraphs>
  <ScaleCrop>false</ScaleCrop>
  <HeadingPairs>
    <vt:vector size="2" baseType="variant">
      <vt:variant>
        <vt:lpstr>Konu Başlığı</vt:lpstr>
      </vt:variant>
      <vt:variant>
        <vt:i4>1</vt:i4>
      </vt:variant>
    </vt:vector>
  </HeadingPairs>
  <TitlesOfParts>
    <vt:vector size="1" baseType="lpstr">
      <vt:lpstr>KAP</vt:lpstr>
    </vt:vector>
  </TitlesOfParts>
  <Company>yaschir computer</Company>
  <LinksUpToDate>false</LinksUpToDate>
  <CharactersWithSpaces>1930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KAP</dc:title>
  <dc:creator>User</dc:creator>
  <cp:lastModifiedBy>yaschir</cp:lastModifiedBy>
  <cp:revision>6</cp:revision>
  <dcterms:created xsi:type="dcterms:W3CDTF">2019-12-20T11:28:00Z</dcterms:created>
  <dcterms:modified xsi:type="dcterms:W3CDTF">2019-12-20T12:07:00Z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2019-12-20T00:00:00Z</vt:filetime>
  </property>
  <property fmtid="{D5CDD505-2E9C-101B-9397-08002B2CF9AE}" pid="3" name="LastSaved">
    <vt:filetime>2019-12-20T00:00:00Z</vt:filetime>
  </property>
</Properties>
</file>